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72078C85" w14:textId="77777777" w:rsidR="009958B1" w:rsidRDefault="009958B1" w:rsidP="009958B1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USCITA DIDATTICA PROGETTO “SCUOLA ATTIVA KIDS”</w:t>
      </w:r>
      <w:r w:rsidR="007B1731" w:rsidRPr="007B1731">
        <w:rPr>
          <w:kern w:val="2"/>
          <w:sz w:val="22"/>
          <w:szCs w:val="22"/>
          <w14:ligatures w14:val="none"/>
        </w:rPr>
        <w:br/>
      </w:r>
    </w:p>
    <w:p w14:paraId="534C4935" w14:textId="0852F82D" w:rsidR="007B1731" w:rsidRPr="007B1731" w:rsidRDefault="007B1731" w:rsidP="009958B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9958B1">
      <w:pPr>
        <w:widowControl w:val="0"/>
        <w:spacing w:before="13" w:after="0" w:line="280" w:lineRule="exact"/>
        <w:jc w:val="both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1E2FEEA9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B21332">
        <w:rPr>
          <w:spacing w:val="-2"/>
          <w:kern w:val="2"/>
          <w:sz w:val="22"/>
          <w:szCs w:val="22"/>
          <w:u w:val="single"/>
          <w14:ligatures w14:val="none"/>
        </w:rPr>
        <w:t>………………………………</w:t>
      </w:r>
      <w:r w:rsidR="009958B1">
        <w:rPr>
          <w:spacing w:val="-2"/>
          <w:kern w:val="2"/>
          <w:sz w:val="22"/>
          <w:szCs w:val="22"/>
          <w14:ligatures w14:val="none"/>
        </w:rPr>
        <w:t xml:space="preserve">all’uscita didattica presso il MUPEM di Montepaone Lido. 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833674"/>
    <w:rsid w:val="008F6A2C"/>
    <w:rsid w:val="00994416"/>
    <w:rsid w:val="009958B1"/>
    <w:rsid w:val="009F3877"/>
    <w:rsid w:val="00B21332"/>
    <w:rsid w:val="00B25379"/>
    <w:rsid w:val="00C775D5"/>
    <w:rsid w:val="00D63156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15</cp:revision>
  <dcterms:created xsi:type="dcterms:W3CDTF">2023-05-18T09:12:00Z</dcterms:created>
  <dcterms:modified xsi:type="dcterms:W3CDTF">2024-05-10T15:20:00Z</dcterms:modified>
</cp:coreProperties>
</file>